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F7" w:rsidRDefault="00E943F7" w:rsidP="00E943F7">
      <w:pPr>
        <w:pStyle w:val="40"/>
        <w:shd w:val="clear" w:color="auto" w:fill="auto"/>
        <w:tabs>
          <w:tab w:val="left" w:pos="7225"/>
        </w:tabs>
        <w:spacing w:before="0" w:after="715"/>
        <w:ind w:firstLine="6663"/>
        <w:jc w:val="left"/>
      </w:pPr>
      <w:r>
        <w:t>Додаток 1 до Порядку</w:t>
      </w:r>
    </w:p>
    <w:p w:rsidR="000928EF" w:rsidRDefault="008D7461">
      <w:pPr>
        <w:pStyle w:val="40"/>
        <w:shd w:val="clear" w:color="auto" w:fill="auto"/>
        <w:spacing w:before="0" w:after="715"/>
        <w:ind w:left="40"/>
      </w:pPr>
      <w:r>
        <w:t>ТИМЧАСОВА МЕТОДИКА ВИЗНАЧЕННЯ</w:t>
      </w:r>
      <w:r>
        <w:br/>
        <w:t>КОЕФІЦІЄНТІВ РОЗПОДІЛУ ПРЕМІАЛЬНОГО ФОНДУ</w:t>
      </w:r>
      <w:r>
        <w:br/>
        <w:t>ДЛЯ СТРУКТУРНИХ ПІДРОЗДІЛІВ</w:t>
      </w:r>
      <w:r>
        <w:br/>
        <w:t>ОДЕСЬКОГО НАЦІОНАЛЬНОГО МЕДИЧНОГО УНІВЕРСИТЕТУ</w:t>
      </w:r>
    </w:p>
    <w:p w:rsidR="000928EF" w:rsidRDefault="008D7461">
      <w:pPr>
        <w:pStyle w:val="40"/>
        <w:shd w:val="clear" w:color="auto" w:fill="auto"/>
        <w:tabs>
          <w:tab w:val="left" w:pos="3731"/>
        </w:tabs>
        <w:spacing w:before="0" w:after="117" w:line="280" w:lineRule="exact"/>
        <w:ind w:left="3440"/>
        <w:jc w:val="both"/>
      </w:pPr>
      <w:r>
        <w:t>І.</w:t>
      </w:r>
      <w:r>
        <w:tab/>
        <w:t>Загальні положення</w:t>
      </w:r>
    </w:p>
    <w:p w:rsidR="000928EF" w:rsidRDefault="008D7461" w:rsidP="0021247E">
      <w:pPr>
        <w:pStyle w:val="20"/>
        <w:numPr>
          <w:ilvl w:val="0"/>
          <w:numId w:val="1"/>
        </w:numPr>
        <w:shd w:val="clear" w:color="auto" w:fill="auto"/>
        <w:tabs>
          <w:tab w:val="left" w:pos="284"/>
          <w:tab w:val="left" w:pos="993"/>
        </w:tabs>
        <w:spacing w:before="0"/>
        <w:ind w:firstLine="280"/>
      </w:pPr>
      <w:r>
        <w:t>Цю Методику розроблено на виконання пункту 2.</w:t>
      </w:r>
      <w:r w:rsidR="0021247E">
        <w:t>12</w:t>
      </w:r>
      <w:r>
        <w:t xml:space="preserve"> По</w:t>
      </w:r>
      <w:r w:rsidR="0021247E">
        <w:t>рядку</w:t>
      </w:r>
      <w:r>
        <w:t xml:space="preserve"> преміювання</w:t>
      </w:r>
      <w:r w:rsidR="0021247E">
        <w:t xml:space="preserve"> </w:t>
      </w:r>
      <w:r w:rsidR="0021247E" w:rsidRPr="0021247E">
        <w:t>матеріального заохочення працівників Одеського національного медичного університету</w:t>
      </w:r>
      <w:r>
        <w:t>, з метою забезпечення повного, прозорого і рівного права працівників на преміювання відповідно до особистого внеску в загальні результати роботи в Одеському національному медичному університеті (далі - ОНМедУ).</w:t>
      </w:r>
    </w:p>
    <w:p w:rsidR="00E943F7" w:rsidRDefault="008D7461" w:rsidP="00E943F7">
      <w:pPr>
        <w:pStyle w:val="20"/>
        <w:numPr>
          <w:ilvl w:val="0"/>
          <w:numId w:val="1"/>
        </w:numPr>
        <w:shd w:val="clear" w:color="auto" w:fill="auto"/>
        <w:tabs>
          <w:tab w:val="left" w:pos="824"/>
          <w:tab w:val="left" w:pos="993"/>
        </w:tabs>
        <w:spacing w:before="0" w:after="117"/>
        <w:ind w:firstLine="426"/>
      </w:pPr>
      <w:r>
        <w:t>Коефіцієнти розподілу преміального фонду для структурних підрозділів Одеського національного медичного університету (далі - Коефіцієнти розподілу) запроваджуються з метою прийняття управлінських рішень щодо забезпечення реалізації права працівників О</w:t>
      </w:r>
      <w:r w:rsidR="00E943F7">
        <w:t>Н</w:t>
      </w:r>
      <w:r>
        <w:t>МедУ на преміювання відповідно до внеску кожного співробітника у результати діяльності Університету, кваліфікаційно-професійного досвіду, складності виконуваних ним робіт і функцій, рівня відповідальності та творчої активності, створення умов для підвищення заробітної плати фахівців.</w:t>
      </w:r>
    </w:p>
    <w:p w:rsidR="00E943F7" w:rsidRDefault="008D7461" w:rsidP="00E943F7">
      <w:pPr>
        <w:pStyle w:val="20"/>
        <w:numPr>
          <w:ilvl w:val="0"/>
          <w:numId w:val="1"/>
        </w:numPr>
        <w:shd w:val="clear" w:color="auto" w:fill="auto"/>
        <w:tabs>
          <w:tab w:val="left" w:pos="824"/>
          <w:tab w:val="left" w:pos="993"/>
        </w:tabs>
        <w:spacing w:before="0" w:after="117"/>
        <w:ind w:firstLine="426"/>
      </w:pPr>
      <w:r>
        <w:t>Коефіцієнти розподілу використовуються для визначення розміру преміального фонду окремого структурного підрозділу ОНМедУ.</w:t>
      </w:r>
    </w:p>
    <w:p w:rsidR="00E943F7" w:rsidRDefault="00E943F7" w:rsidP="00E943F7">
      <w:pPr>
        <w:pStyle w:val="20"/>
        <w:shd w:val="clear" w:color="auto" w:fill="auto"/>
        <w:tabs>
          <w:tab w:val="left" w:pos="824"/>
        </w:tabs>
        <w:spacing w:before="0" w:after="117"/>
        <w:ind w:left="280"/>
      </w:pPr>
    </w:p>
    <w:p w:rsidR="000928EF" w:rsidRPr="00E943F7" w:rsidRDefault="008D7461" w:rsidP="00E943F7">
      <w:pPr>
        <w:pStyle w:val="20"/>
        <w:numPr>
          <w:ilvl w:val="0"/>
          <w:numId w:val="5"/>
        </w:numPr>
        <w:shd w:val="clear" w:color="auto" w:fill="auto"/>
        <w:tabs>
          <w:tab w:val="left" w:pos="824"/>
        </w:tabs>
        <w:spacing w:before="0" w:after="117"/>
        <w:ind w:left="1134"/>
        <w:jc w:val="center"/>
        <w:rPr>
          <w:b/>
        </w:rPr>
      </w:pPr>
      <w:r w:rsidRPr="00E943F7">
        <w:rPr>
          <w:b/>
        </w:rPr>
        <w:t>Порядок визначення фонду преміювання структурних підрозділів</w:t>
      </w:r>
    </w:p>
    <w:p w:rsidR="00AF644A" w:rsidRPr="00AF644A" w:rsidRDefault="00AF644A" w:rsidP="00AF644A">
      <w:pPr>
        <w:tabs>
          <w:tab w:val="left" w:pos="851"/>
        </w:tabs>
        <w:ind w:right="103" w:firstLine="709"/>
        <w:jc w:val="both"/>
        <w:rPr>
          <w:rFonts w:ascii="Times New Roman" w:hAnsi="Times New Roman" w:cs="Times New Roman"/>
          <w:sz w:val="28"/>
          <w:szCs w:val="28"/>
        </w:rPr>
      </w:pPr>
      <w:r>
        <w:rPr>
          <w:rFonts w:ascii="Times New Roman" w:hAnsi="Times New Roman" w:cs="Times New Roman"/>
          <w:sz w:val="28"/>
          <w:szCs w:val="28"/>
        </w:rPr>
        <w:t>2</w:t>
      </w:r>
      <w:r w:rsidRPr="00AF644A">
        <w:rPr>
          <w:rFonts w:ascii="Times New Roman" w:hAnsi="Times New Roman" w:cs="Times New Roman"/>
          <w:sz w:val="28"/>
          <w:szCs w:val="28"/>
        </w:rPr>
        <w:t>.1.  Відповідно до пункту 2.12 Порядку про преміювання працівників Одеського національного медичного університету начальник планово- економічного відділу на основі даних бухгалтерського обліку за кожною бюджетною програмою за встановленою формою (Додаток 1) надає ректору інформацію щодо розміру економії фонду оплати праці, що утворилась станом на 01 число поточного місяця.</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2</w:t>
      </w:r>
      <w:r>
        <w:rPr>
          <w:rFonts w:ascii="Times New Roman" w:hAnsi="Times New Roman" w:cs="Times New Roman"/>
          <w:sz w:val="28"/>
          <w:szCs w:val="28"/>
        </w:rPr>
        <w:t xml:space="preserve">.2. </w:t>
      </w:r>
      <w:r w:rsidRPr="00AF644A">
        <w:rPr>
          <w:rFonts w:ascii="Times New Roman" w:hAnsi="Times New Roman" w:cs="Times New Roman"/>
          <w:sz w:val="28"/>
          <w:szCs w:val="28"/>
        </w:rPr>
        <w:t>Начальник відділу кадрів подає ректору доповідну записку на преміювання працівників, що відзначають ювілейну дату у поточному місяці, за списком та ювілейною датою.</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 xml:space="preserve">2.3. </w:t>
      </w:r>
      <w:r w:rsidR="001B0D6D">
        <w:rPr>
          <w:rFonts w:ascii="Times New Roman" w:hAnsi="Times New Roman" w:cs="Times New Roman"/>
          <w:sz w:val="28"/>
          <w:szCs w:val="28"/>
        </w:rPr>
        <w:t xml:space="preserve"> </w:t>
      </w:r>
      <w:r w:rsidRPr="00AF644A">
        <w:rPr>
          <w:rFonts w:ascii="Times New Roman" w:hAnsi="Times New Roman" w:cs="Times New Roman"/>
          <w:sz w:val="28"/>
          <w:szCs w:val="28"/>
        </w:rPr>
        <w:t xml:space="preserve">Проректори згідно розподілу обов’язків та/або керівники структурних підрозділів, що безпосередньо підпорядковуються ректору, до 05 числа поточного місяця подають ректору службові записки на персональне преміювання співробітників за особистий внесок у виконання важливого завдання чи термінової роботи, до знаменної дати, за підготовку та видання </w:t>
      </w:r>
      <w:r w:rsidRPr="00AF644A">
        <w:rPr>
          <w:rFonts w:ascii="Times New Roman" w:hAnsi="Times New Roman" w:cs="Times New Roman"/>
          <w:sz w:val="28"/>
          <w:szCs w:val="28"/>
        </w:rPr>
        <w:lastRenderedPageBreak/>
        <w:t>методичної літератури тощо.</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2.4.   Не пізніше 07 числа поточного місяця службові і доповідні записки з резолюцією ректора щодо персонального преміювання працівників, преміювання до ювілейних і знаменних дат тощо надаються до планово- економічного відділу, який розраховує суми фондів на преміювання за названими підставами.</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2.5.</w:t>
      </w:r>
      <w:r>
        <w:rPr>
          <w:rFonts w:ascii="Times New Roman" w:hAnsi="Times New Roman" w:cs="Times New Roman"/>
          <w:sz w:val="28"/>
          <w:szCs w:val="28"/>
        </w:rPr>
        <w:t xml:space="preserve"> </w:t>
      </w:r>
      <w:r w:rsidRPr="00AF644A">
        <w:rPr>
          <w:rFonts w:ascii="Times New Roman" w:hAnsi="Times New Roman" w:cs="Times New Roman"/>
          <w:sz w:val="28"/>
          <w:szCs w:val="28"/>
        </w:rPr>
        <w:t>Відповідно до рішення ректора щодо розміру преміювання проректорів та керівників, що підпорядковуються безпосередньо йому, за формою, яка додається (Додаток 2), планово-економічним відділом визначається розмір преміального фонду ректора.</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2.6.</w:t>
      </w:r>
      <w:r>
        <w:rPr>
          <w:rFonts w:ascii="Times New Roman" w:hAnsi="Times New Roman" w:cs="Times New Roman"/>
          <w:sz w:val="28"/>
          <w:szCs w:val="28"/>
        </w:rPr>
        <w:t xml:space="preserve">   </w:t>
      </w:r>
      <w:r w:rsidRPr="00AF644A">
        <w:rPr>
          <w:rFonts w:ascii="Times New Roman" w:hAnsi="Times New Roman" w:cs="Times New Roman"/>
          <w:sz w:val="28"/>
          <w:szCs w:val="28"/>
        </w:rPr>
        <w:t>Розмір премії проректорам та керівникам структурних підрозділів, що безпосередньо підпорядковуються ректору Університету, встановлюється ним безпосередньо відповідно до особистого внеску в загальні результати роботи закладу за відповідний період.</w:t>
      </w:r>
    </w:p>
    <w:p w:rsidR="00AF644A" w:rsidRPr="00AF644A" w:rsidRDefault="00AF644A" w:rsidP="00AF644A">
      <w:pPr>
        <w:pStyle w:val="a4"/>
        <w:tabs>
          <w:tab w:val="left" w:pos="851"/>
        </w:tabs>
        <w:ind w:left="0" w:right="103" w:firstLine="709"/>
        <w:rPr>
          <w:sz w:val="28"/>
          <w:szCs w:val="28"/>
          <w:lang w:bidi="uk-UA"/>
        </w:rPr>
      </w:pPr>
      <w:r w:rsidRPr="00AF644A">
        <w:rPr>
          <w:sz w:val="28"/>
          <w:szCs w:val="28"/>
          <w:lang w:bidi="uk-UA"/>
        </w:rPr>
        <w:t>Преміювання конкретних працівників закладу може виноситись на обговорення ректорату ОНМедУ.</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2.7.</w:t>
      </w:r>
      <w:r>
        <w:rPr>
          <w:rFonts w:ascii="Times New Roman" w:hAnsi="Times New Roman" w:cs="Times New Roman"/>
          <w:sz w:val="28"/>
          <w:szCs w:val="28"/>
        </w:rPr>
        <w:t xml:space="preserve">  </w:t>
      </w:r>
      <w:r w:rsidRPr="00AF644A">
        <w:rPr>
          <w:rFonts w:ascii="Times New Roman" w:hAnsi="Times New Roman" w:cs="Times New Roman"/>
          <w:sz w:val="28"/>
          <w:szCs w:val="28"/>
        </w:rPr>
        <w:t>Планово-економічний відділ на підставі наданих службових і доповідних записок та розміру преміального фонду ректора в межах економії фонду оплати праці за кожною бюджетною програмою, проводить розрахунок преміального фонду для структурних підрозділів за встановленою формою (Додаток 3) і надає керівнику закладу для прийняття рішення щодо преміювання структурних підрозділів.</w:t>
      </w:r>
    </w:p>
    <w:p w:rsidR="00AF644A" w:rsidRPr="00AF644A" w:rsidRDefault="00AF644A" w:rsidP="00AF644A">
      <w:pPr>
        <w:tabs>
          <w:tab w:val="left" w:pos="851"/>
        </w:tabs>
        <w:ind w:right="103" w:firstLine="709"/>
        <w:jc w:val="both"/>
        <w:rPr>
          <w:rFonts w:ascii="Times New Roman" w:hAnsi="Times New Roman" w:cs="Times New Roman"/>
          <w:sz w:val="28"/>
          <w:szCs w:val="28"/>
        </w:rPr>
      </w:pPr>
      <w:r w:rsidRPr="00AF644A">
        <w:rPr>
          <w:rFonts w:ascii="Times New Roman" w:hAnsi="Times New Roman" w:cs="Times New Roman"/>
          <w:sz w:val="28"/>
          <w:szCs w:val="28"/>
        </w:rPr>
        <w:t>2.8.</w:t>
      </w:r>
      <w:r>
        <w:rPr>
          <w:rFonts w:ascii="Times New Roman" w:hAnsi="Times New Roman" w:cs="Times New Roman"/>
          <w:sz w:val="28"/>
          <w:szCs w:val="28"/>
        </w:rPr>
        <w:t xml:space="preserve">   </w:t>
      </w:r>
      <w:r w:rsidRPr="00AF644A">
        <w:rPr>
          <w:rFonts w:ascii="Times New Roman" w:hAnsi="Times New Roman" w:cs="Times New Roman"/>
          <w:sz w:val="28"/>
          <w:szCs w:val="28"/>
        </w:rPr>
        <w:t>Відповідно до рішення ректора планово-економічний відділ готує проект Розпорядження ректора за формою, що додається (Додаток 4), та розраховує фонд преміювання для кожного структурного підрозділу в розрізі окремої бюджетної програми в межах фонду преміювання структурних підрозділів на підставі коефіцієнтів розподілу (Додаток 5) і у строки, встановлені розпорядженням ректора, доводить до відома проректорів та/або керівників відповідних структурних підрозділів.</w:t>
      </w:r>
    </w:p>
    <w:p w:rsidR="00AF644A" w:rsidRPr="00AF644A" w:rsidRDefault="00AF644A" w:rsidP="00AF644A">
      <w:pPr>
        <w:tabs>
          <w:tab w:val="left" w:pos="1199"/>
        </w:tabs>
        <w:ind w:left="360" w:right="103"/>
        <w:rPr>
          <w:sz w:val="28"/>
          <w:szCs w:val="28"/>
        </w:rPr>
      </w:pPr>
    </w:p>
    <w:p w:rsidR="000928EF" w:rsidRDefault="008D7461" w:rsidP="00E943F7">
      <w:pPr>
        <w:pStyle w:val="40"/>
        <w:numPr>
          <w:ilvl w:val="0"/>
          <w:numId w:val="5"/>
        </w:numPr>
        <w:shd w:val="clear" w:color="auto" w:fill="auto"/>
        <w:tabs>
          <w:tab w:val="left" w:pos="2318"/>
        </w:tabs>
        <w:spacing w:before="0" w:after="117" w:line="280" w:lineRule="exact"/>
        <w:jc w:val="both"/>
      </w:pPr>
      <w:r>
        <w:t>Порядок визначення коефіцієнтів розподілу</w:t>
      </w:r>
    </w:p>
    <w:p w:rsidR="00E943F7" w:rsidRPr="00D92E0F" w:rsidRDefault="00E943F7" w:rsidP="00E943F7">
      <w:pPr>
        <w:pStyle w:val="a4"/>
        <w:tabs>
          <w:tab w:val="left" w:pos="1199"/>
        </w:tabs>
        <w:ind w:left="0" w:right="103" w:firstLine="709"/>
        <w:rPr>
          <w:sz w:val="28"/>
          <w:szCs w:val="28"/>
          <w:lang w:bidi="uk-UA"/>
        </w:rPr>
      </w:pPr>
      <w:r w:rsidRPr="00E943F7">
        <w:rPr>
          <w:sz w:val="28"/>
          <w:szCs w:val="28"/>
          <w:lang w:bidi="uk-UA"/>
        </w:rPr>
        <w:t>3</w:t>
      </w:r>
      <w:r w:rsidRPr="00D92E0F">
        <w:rPr>
          <w:sz w:val="28"/>
          <w:szCs w:val="28"/>
          <w:lang w:bidi="uk-UA"/>
        </w:rPr>
        <w:t>.1  Коефіцієнти розподілу преміального фонду для структурних підрозділів Одеського національного медичного університету (далі - Коефіцієнти розподілу) запроваджуються з метою прийняття управлінських рішень щодо забезпечення реалізації права працівників ОНМедУ на преміювання відповідно до внеску кожного співробітника у результати діяльності Університету, кваліфікаційно-професійного досвіду, складності виконуваних ним робіт і функцій, рівня відповідальності та творчої активності, створення умов для підвищення заробітної плати фахівців.</w:t>
      </w:r>
    </w:p>
    <w:p w:rsidR="00E943F7" w:rsidRDefault="00E943F7" w:rsidP="00E943F7">
      <w:pPr>
        <w:pStyle w:val="a4"/>
        <w:tabs>
          <w:tab w:val="left" w:pos="1199"/>
        </w:tabs>
        <w:ind w:left="0" w:right="103" w:firstLine="709"/>
        <w:rPr>
          <w:sz w:val="28"/>
          <w:szCs w:val="28"/>
          <w:lang w:bidi="uk-UA"/>
        </w:rPr>
      </w:pPr>
      <w:r w:rsidRPr="00E943F7">
        <w:rPr>
          <w:sz w:val="28"/>
          <w:szCs w:val="28"/>
          <w:lang w:val="ru-RU" w:bidi="uk-UA"/>
        </w:rPr>
        <w:t>3</w:t>
      </w:r>
      <w:r w:rsidRPr="00D92E0F">
        <w:rPr>
          <w:sz w:val="28"/>
          <w:szCs w:val="28"/>
          <w:lang w:bidi="uk-UA"/>
        </w:rPr>
        <w:t>.2. Коефіцієнти розподілу використовуються для визначення розміру преміального фонду окремого структурного підрозділу ОНМедУ.</w:t>
      </w:r>
    </w:p>
    <w:p w:rsidR="00E943F7" w:rsidRPr="00E943F7" w:rsidRDefault="00E943F7" w:rsidP="00E943F7">
      <w:pPr>
        <w:pStyle w:val="a4"/>
        <w:tabs>
          <w:tab w:val="left" w:pos="1199"/>
        </w:tabs>
        <w:ind w:left="0" w:right="103" w:firstLine="709"/>
        <w:rPr>
          <w:sz w:val="28"/>
          <w:szCs w:val="28"/>
          <w:lang w:bidi="uk-UA"/>
        </w:rPr>
      </w:pPr>
      <w:r w:rsidRPr="00E943F7">
        <w:rPr>
          <w:sz w:val="28"/>
          <w:szCs w:val="28"/>
          <w:lang w:bidi="uk-UA"/>
        </w:rPr>
        <w:t>3</w:t>
      </w:r>
      <w:r>
        <w:rPr>
          <w:sz w:val="28"/>
          <w:szCs w:val="28"/>
          <w:lang w:bidi="uk-UA"/>
        </w:rPr>
        <w:t xml:space="preserve">.3. </w:t>
      </w:r>
      <w:r w:rsidR="00AF644A">
        <w:rPr>
          <w:sz w:val="28"/>
          <w:szCs w:val="28"/>
          <w:lang w:bidi="uk-UA"/>
        </w:rPr>
        <w:t xml:space="preserve"> </w:t>
      </w:r>
      <w:r w:rsidRPr="00E943F7">
        <w:rPr>
          <w:sz w:val="28"/>
          <w:szCs w:val="28"/>
          <w:lang w:bidi="uk-UA"/>
        </w:rPr>
        <w:t>Коефіцієнти розподілу розраховуються на основі кількості штатних одиниць структурних підрозділів, які підлягають преміюванню у поточному періоді відповідно до розпорядження ректора.</w:t>
      </w:r>
    </w:p>
    <w:p w:rsidR="00E943F7" w:rsidRPr="00E943F7" w:rsidRDefault="00AF644A" w:rsidP="00E943F7">
      <w:pPr>
        <w:pStyle w:val="a4"/>
        <w:numPr>
          <w:ilvl w:val="1"/>
          <w:numId w:val="5"/>
        </w:numPr>
        <w:tabs>
          <w:tab w:val="left" w:pos="1199"/>
        </w:tabs>
        <w:ind w:left="0" w:right="103" w:firstLine="709"/>
        <w:rPr>
          <w:sz w:val="28"/>
          <w:szCs w:val="28"/>
        </w:rPr>
      </w:pPr>
      <w:r>
        <w:rPr>
          <w:sz w:val="28"/>
          <w:szCs w:val="28"/>
        </w:rPr>
        <w:t xml:space="preserve"> </w:t>
      </w:r>
      <w:r w:rsidR="00E943F7" w:rsidRPr="00E943F7">
        <w:rPr>
          <w:sz w:val="28"/>
          <w:szCs w:val="28"/>
        </w:rPr>
        <w:t xml:space="preserve">Планово-економічний відділ відповідно до кількості штатних одиниць структурних підрозділів, які преміюються у поточному періоді і </w:t>
      </w:r>
      <w:r w:rsidR="00E943F7" w:rsidRPr="00E943F7">
        <w:rPr>
          <w:sz w:val="28"/>
          <w:szCs w:val="28"/>
        </w:rPr>
        <w:lastRenderedPageBreak/>
        <w:t xml:space="preserve">визначені у додатку до розпорядження ректора </w:t>
      </w:r>
      <w:r w:rsidR="00E943F7" w:rsidRPr="00E943F7">
        <w:rPr>
          <w:sz w:val="28"/>
          <w:szCs w:val="28"/>
          <w:u w:val="single"/>
        </w:rPr>
        <w:t>(пункт 2.8 Методики),</w:t>
      </w:r>
      <w:r w:rsidR="00E943F7" w:rsidRPr="00E943F7">
        <w:rPr>
          <w:sz w:val="28"/>
          <w:szCs w:val="28"/>
        </w:rPr>
        <w:t xml:space="preserve"> визначає сумарний показник штатної чисельності за формулою:</w:t>
      </w:r>
      <w:bookmarkStart w:id="0" w:name="_GoBack"/>
      <w:bookmarkEnd w:id="0"/>
    </w:p>
    <w:p w:rsidR="00E943F7" w:rsidRPr="00D92E0F" w:rsidRDefault="00E943F7" w:rsidP="00E943F7">
      <w:pPr>
        <w:pStyle w:val="a4"/>
        <w:tabs>
          <w:tab w:val="left" w:pos="1199"/>
        </w:tabs>
        <w:ind w:left="0" w:right="103" w:firstLine="709"/>
        <w:rPr>
          <w:sz w:val="28"/>
          <w:szCs w:val="28"/>
          <w:lang w:bidi="uk-UA"/>
        </w:rPr>
      </w:pPr>
    </w:p>
    <w:p w:rsidR="00E943F7" w:rsidRPr="00E63966" w:rsidRDefault="00E63966" w:rsidP="00E943F7">
      <w:pPr>
        <w:pStyle w:val="a4"/>
        <w:tabs>
          <w:tab w:val="left" w:pos="1199"/>
        </w:tabs>
        <w:ind w:left="0" w:right="103" w:firstLine="426"/>
        <w:jc w:val="center"/>
        <w:rPr>
          <w:sz w:val="40"/>
          <w:szCs w:val="40"/>
          <w:lang w:val="ru-RU" w:bidi="uk-UA"/>
        </w:rPr>
      </w:pPr>
      <w:r>
        <w:rPr>
          <w:sz w:val="40"/>
          <w:szCs w:val="40"/>
          <w:lang w:val="ru-RU" w:bidi="uk-UA"/>
        </w:rPr>
        <w:t xml:space="preserve"> </w:t>
      </w:r>
      <m:oMath>
        <m:sSub>
          <m:sSubPr>
            <m:ctrlPr>
              <w:rPr>
                <w:rFonts w:ascii="Cambria Math" w:hAnsi="Cambria Math"/>
                <w:i/>
                <w:sz w:val="40"/>
                <w:szCs w:val="40"/>
                <w:lang w:bidi="uk-UA"/>
              </w:rPr>
            </m:ctrlPr>
          </m:sSubPr>
          <m:e>
            <m:r>
              <w:rPr>
                <w:rFonts w:ascii="Cambria Math" w:hAnsi="Cambria Math"/>
                <w:sz w:val="40"/>
                <w:szCs w:val="40"/>
                <w:lang w:bidi="uk-UA"/>
              </w:rPr>
              <m:t>С</m:t>
            </m:r>
          </m:e>
          <m:sub>
            <m:r>
              <w:rPr>
                <w:rFonts w:ascii="Cambria Math" w:hAnsi="Cambria Math"/>
                <w:sz w:val="40"/>
                <w:szCs w:val="40"/>
                <w:lang w:val="ru-RU" w:bidi="uk-UA"/>
              </w:rPr>
              <m:t>ш</m:t>
            </m:r>
          </m:sub>
        </m:sSub>
        <m:r>
          <w:rPr>
            <w:rFonts w:ascii="Cambria Math" w:hAnsi="Cambria Math"/>
            <w:sz w:val="40"/>
            <w:szCs w:val="40"/>
            <w:lang w:bidi="uk-UA"/>
          </w:rPr>
          <m:t>=</m:t>
        </m:r>
        <m:nary>
          <m:naryPr>
            <m:chr m:val="∑"/>
            <m:limLoc m:val="subSup"/>
            <m:ctrlPr>
              <w:rPr>
                <w:rFonts w:ascii="Cambria Math" w:hAnsi="Cambria Math"/>
                <w:i/>
                <w:sz w:val="40"/>
                <w:szCs w:val="40"/>
                <w:lang w:bidi="uk-UA"/>
              </w:rPr>
            </m:ctrlPr>
          </m:naryPr>
          <m:sub>
            <m:r>
              <w:rPr>
                <w:rFonts w:ascii="Cambria Math" w:hAnsi="Cambria Math"/>
                <w:sz w:val="40"/>
                <w:szCs w:val="40"/>
                <w:lang w:bidi="uk-UA"/>
              </w:rPr>
              <m:t>1</m:t>
            </m:r>
          </m:sub>
          <m:sup>
            <m:r>
              <w:rPr>
                <w:rFonts w:ascii="Cambria Math" w:hAnsi="Cambria Math"/>
                <w:sz w:val="40"/>
                <w:szCs w:val="40"/>
                <w:lang w:bidi="uk-UA"/>
              </w:rPr>
              <m:t>п</m:t>
            </m:r>
          </m:sup>
          <m:e>
            <m:r>
              <w:rPr>
                <w:rFonts w:ascii="Cambria Math" w:hAnsi="Cambria Math"/>
                <w:sz w:val="40"/>
                <w:szCs w:val="40"/>
                <w:lang w:bidi="uk-UA"/>
              </w:rPr>
              <m:t>К</m:t>
            </m:r>
          </m:e>
        </m:nary>
      </m:oMath>
    </w:p>
    <w:p w:rsidR="00E943F7" w:rsidRPr="00D92E0F" w:rsidRDefault="00E943F7" w:rsidP="00E943F7">
      <w:pPr>
        <w:pStyle w:val="a4"/>
        <w:tabs>
          <w:tab w:val="left" w:pos="1199"/>
        </w:tabs>
        <w:ind w:left="0" w:right="103" w:firstLine="426"/>
        <w:jc w:val="center"/>
        <w:rPr>
          <w:sz w:val="40"/>
          <w:szCs w:val="40"/>
          <w:lang w:bidi="uk-UA"/>
        </w:rPr>
      </w:pPr>
    </w:p>
    <w:p w:rsidR="00E943F7" w:rsidRPr="00D92E0F" w:rsidRDefault="00E943F7" w:rsidP="00E943F7">
      <w:pPr>
        <w:pStyle w:val="a4"/>
        <w:tabs>
          <w:tab w:val="left" w:pos="1199"/>
        </w:tabs>
        <w:ind w:left="0" w:right="103" w:firstLine="426"/>
        <w:rPr>
          <w:sz w:val="28"/>
          <w:szCs w:val="28"/>
          <w:lang w:bidi="uk-UA"/>
        </w:rPr>
      </w:pPr>
      <w:r w:rsidRPr="00D92E0F">
        <w:rPr>
          <w:sz w:val="28"/>
          <w:szCs w:val="28"/>
          <w:lang w:bidi="uk-UA"/>
        </w:rPr>
        <w:t>де С</w:t>
      </w:r>
      <w:r w:rsidRPr="00D92E0F">
        <w:rPr>
          <w:sz w:val="28"/>
          <w:szCs w:val="28"/>
          <w:vertAlign w:val="subscript"/>
          <w:lang w:bidi="uk-UA"/>
        </w:rPr>
        <w:t>ш</w:t>
      </w:r>
      <w:r w:rsidRPr="00D92E0F">
        <w:rPr>
          <w:sz w:val="28"/>
          <w:szCs w:val="28"/>
          <w:lang w:bidi="uk-UA"/>
        </w:rPr>
        <w:t xml:space="preserve"> - сумарний показник штатної чисельності структурних підрозділів, що преміюються у поточному періоді;</w:t>
      </w:r>
    </w:p>
    <w:p w:rsidR="00E943F7" w:rsidRDefault="00E943F7" w:rsidP="00E943F7">
      <w:pPr>
        <w:pStyle w:val="a4"/>
        <w:tabs>
          <w:tab w:val="left" w:pos="1199"/>
        </w:tabs>
        <w:ind w:left="0" w:right="103" w:firstLine="426"/>
        <w:rPr>
          <w:sz w:val="28"/>
          <w:szCs w:val="28"/>
          <w:lang w:bidi="uk-UA"/>
        </w:rPr>
      </w:pPr>
      <w:r w:rsidRPr="00D92E0F">
        <w:rPr>
          <w:sz w:val="28"/>
          <w:szCs w:val="28"/>
          <w:lang w:bidi="uk-UA"/>
        </w:rPr>
        <w:t>К - кількість штатних одиниць окремого структурного підрозділу, що преміюється у поточному періоді;</w:t>
      </w:r>
    </w:p>
    <w:p w:rsidR="00A804F0" w:rsidRPr="00D92E0F" w:rsidRDefault="00A804F0" w:rsidP="00E943F7">
      <w:pPr>
        <w:pStyle w:val="a4"/>
        <w:tabs>
          <w:tab w:val="left" w:pos="1199"/>
        </w:tabs>
        <w:ind w:left="0" w:right="103" w:firstLine="426"/>
        <w:rPr>
          <w:sz w:val="28"/>
          <w:szCs w:val="28"/>
          <w:lang w:bidi="uk-UA"/>
        </w:rPr>
      </w:pPr>
      <w:r>
        <w:rPr>
          <w:sz w:val="28"/>
          <w:szCs w:val="28"/>
          <w:lang w:bidi="uk-UA"/>
        </w:rPr>
        <w:t>п   - кількість структурних підрозділів, що преміюються у поточному періоді.</w:t>
      </w:r>
    </w:p>
    <w:p w:rsidR="00E943F7" w:rsidRDefault="00E943F7" w:rsidP="00E943F7">
      <w:pPr>
        <w:pStyle w:val="a4"/>
        <w:numPr>
          <w:ilvl w:val="1"/>
          <w:numId w:val="5"/>
        </w:numPr>
        <w:tabs>
          <w:tab w:val="left" w:pos="1199"/>
        </w:tabs>
        <w:ind w:left="0" w:right="103" w:firstLine="709"/>
        <w:rPr>
          <w:sz w:val="28"/>
          <w:szCs w:val="28"/>
        </w:rPr>
      </w:pPr>
      <w:r w:rsidRPr="00E943F7">
        <w:rPr>
          <w:sz w:val="28"/>
          <w:szCs w:val="28"/>
        </w:rPr>
        <w:t>Коефіцієнт розподілу преміального фонду для окремого структурного підрозділу визначається як частка від ділення кількості штатних одиниць окремого структурного підрозділу на сумарний показник штатної чисельності:</w:t>
      </w:r>
    </w:p>
    <w:p w:rsidR="00A804F0" w:rsidRPr="00E943F7" w:rsidRDefault="00A804F0" w:rsidP="00A804F0">
      <w:pPr>
        <w:pStyle w:val="a4"/>
        <w:tabs>
          <w:tab w:val="left" w:pos="1199"/>
        </w:tabs>
        <w:ind w:left="709" w:right="103" w:firstLine="0"/>
        <w:rPr>
          <w:sz w:val="28"/>
          <w:szCs w:val="28"/>
        </w:rPr>
      </w:pPr>
    </w:p>
    <w:p w:rsidR="00E943F7" w:rsidRDefault="00E943F7" w:rsidP="00E943F7">
      <w:pPr>
        <w:pStyle w:val="a4"/>
        <w:tabs>
          <w:tab w:val="left" w:pos="1199"/>
        </w:tabs>
        <w:ind w:left="0" w:right="103" w:firstLine="426"/>
        <w:jc w:val="center"/>
        <w:rPr>
          <w:b/>
          <w:bCs/>
          <w:sz w:val="28"/>
          <w:szCs w:val="28"/>
          <w:vertAlign w:val="subscript"/>
          <w:lang w:bidi="uk-UA"/>
        </w:rPr>
      </w:pPr>
      <w:bookmarkStart w:id="1" w:name="bookmark2"/>
      <w:r w:rsidRPr="00D92E0F">
        <w:rPr>
          <w:b/>
          <w:bCs/>
          <w:sz w:val="28"/>
          <w:szCs w:val="28"/>
          <w:lang w:bidi="uk-UA"/>
        </w:rPr>
        <w:t>К</w:t>
      </w:r>
      <w:r w:rsidRPr="00D92E0F">
        <w:rPr>
          <w:b/>
          <w:bCs/>
          <w:sz w:val="28"/>
          <w:szCs w:val="28"/>
          <w:vertAlign w:val="subscript"/>
          <w:lang w:bidi="uk-UA"/>
        </w:rPr>
        <w:t>рс</w:t>
      </w:r>
      <w:r w:rsidRPr="00D92E0F">
        <w:rPr>
          <w:b/>
          <w:bCs/>
          <w:sz w:val="28"/>
          <w:szCs w:val="28"/>
          <w:lang w:bidi="uk-UA"/>
        </w:rPr>
        <w:t>=К</w:t>
      </w:r>
      <w:r w:rsidR="00A804F0">
        <w:rPr>
          <w:b/>
          <w:bCs/>
          <w:sz w:val="28"/>
          <w:szCs w:val="28"/>
          <w:lang w:bidi="uk-UA"/>
        </w:rPr>
        <w:t xml:space="preserve"> </w:t>
      </w:r>
      <w:r w:rsidRPr="00D92E0F">
        <w:rPr>
          <w:b/>
          <w:bCs/>
          <w:sz w:val="28"/>
          <w:szCs w:val="28"/>
          <w:lang w:bidi="uk-UA"/>
        </w:rPr>
        <w:t>/</w:t>
      </w:r>
      <w:r w:rsidR="00A804F0">
        <w:rPr>
          <w:b/>
          <w:bCs/>
          <w:sz w:val="28"/>
          <w:szCs w:val="28"/>
          <w:lang w:bidi="uk-UA"/>
        </w:rPr>
        <w:t xml:space="preserve"> </w:t>
      </w:r>
      <w:r w:rsidRPr="00D92E0F">
        <w:rPr>
          <w:b/>
          <w:bCs/>
          <w:sz w:val="28"/>
          <w:szCs w:val="28"/>
          <w:lang w:bidi="uk-UA"/>
        </w:rPr>
        <w:t>С</w:t>
      </w:r>
      <w:r w:rsidRPr="00A804F0">
        <w:rPr>
          <w:b/>
          <w:bCs/>
          <w:sz w:val="28"/>
          <w:szCs w:val="28"/>
          <w:vertAlign w:val="subscript"/>
          <w:lang w:bidi="uk-UA"/>
        </w:rPr>
        <w:t>Ш</w:t>
      </w:r>
      <w:r w:rsidRPr="00D92E0F">
        <w:rPr>
          <w:b/>
          <w:bCs/>
          <w:sz w:val="28"/>
          <w:szCs w:val="28"/>
          <w:vertAlign w:val="subscript"/>
          <w:lang w:bidi="uk-UA"/>
        </w:rPr>
        <w:t>;</w:t>
      </w:r>
      <w:bookmarkEnd w:id="1"/>
    </w:p>
    <w:p w:rsidR="00A804F0" w:rsidRPr="00D92E0F" w:rsidRDefault="00A804F0" w:rsidP="00E943F7">
      <w:pPr>
        <w:pStyle w:val="a4"/>
        <w:tabs>
          <w:tab w:val="left" w:pos="1199"/>
        </w:tabs>
        <w:ind w:left="0" w:right="103" w:firstLine="426"/>
        <w:jc w:val="center"/>
        <w:rPr>
          <w:b/>
          <w:bCs/>
          <w:sz w:val="28"/>
          <w:szCs w:val="28"/>
          <w:lang w:bidi="uk-UA"/>
        </w:rPr>
      </w:pPr>
    </w:p>
    <w:p w:rsidR="00E943F7" w:rsidRPr="00D92E0F" w:rsidRDefault="00E943F7" w:rsidP="00E943F7">
      <w:pPr>
        <w:pStyle w:val="a4"/>
        <w:tabs>
          <w:tab w:val="left" w:pos="1199"/>
        </w:tabs>
        <w:ind w:left="0" w:right="103" w:firstLine="426"/>
        <w:rPr>
          <w:sz w:val="28"/>
          <w:szCs w:val="28"/>
          <w:lang w:bidi="uk-UA"/>
        </w:rPr>
      </w:pPr>
      <w:r w:rsidRPr="00D92E0F">
        <w:rPr>
          <w:sz w:val="28"/>
          <w:szCs w:val="28"/>
          <w:lang w:bidi="uk-UA"/>
        </w:rPr>
        <w:t xml:space="preserve">де </w:t>
      </w:r>
      <w:r w:rsidRPr="00D92E0F">
        <w:rPr>
          <w:b/>
          <w:bCs/>
          <w:sz w:val="28"/>
          <w:szCs w:val="28"/>
          <w:lang w:bidi="uk-UA"/>
        </w:rPr>
        <w:t>К</w:t>
      </w:r>
      <w:r w:rsidRPr="00A804F0">
        <w:rPr>
          <w:bCs/>
          <w:sz w:val="28"/>
          <w:szCs w:val="28"/>
          <w:vertAlign w:val="subscript"/>
          <w:lang w:bidi="uk-UA"/>
        </w:rPr>
        <w:t>рс</w:t>
      </w:r>
      <w:r w:rsidRPr="00D92E0F">
        <w:rPr>
          <w:b/>
          <w:bCs/>
          <w:sz w:val="28"/>
          <w:szCs w:val="28"/>
          <w:lang w:bidi="uk-UA"/>
        </w:rPr>
        <w:t xml:space="preserve"> </w:t>
      </w:r>
      <w:r w:rsidRPr="00D92E0F">
        <w:rPr>
          <w:sz w:val="28"/>
          <w:szCs w:val="28"/>
          <w:lang w:bidi="uk-UA"/>
        </w:rPr>
        <w:t>- коефіцієнт розподілу преміального фонду для структурного підрозділу.</w:t>
      </w:r>
    </w:p>
    <w:p w:rsidR="00E943F7" w:rsidRDefault="00E943F7" w:rsidP="00E943F7">
      <w:pPr>
        <w:pStyle w:val="a4"/>
        <w:numPr>
          <w:ilvl w:val="1"/>
          <w:numId w:val="5"/>
        </w:numPr>
        <w:tabs>
          <w:tab w:val="left" w:pos="1199"/>
        </w:tabs>
        <w:ind w:left="0" w:right="103" w:firstLine="709"/>
        <w:rPr>
          <w:sz w:val="28"/>
          <w:szCs w:val="28"/>
          <w:lang w:bidi="uk-UA"/>
        </w:rPr>
      </w:pPr>
      <w:r w:rsidRPr="00D92E0F">
        <w:rPr>
          <w:sz w:val="28"/>
          <w:szCs w:val="28"/>
          <w:lang w:bidi="uk-UA"/>
        </w:rPr>
        <w:t>Фонд преміювання окремого структурного підрозділу у поточному періоді розраховується як добуток суми преміального фонду, який підлягає розподілу між структурними підрозділами, і коефіцієнта розподілу преміального фонду для структурного підрозділу:</w:t>
      </w:r>
    </w:p>
    <w:p w:rsidR="00A804F0" w:rsidRPr="00D92E0F" w:rsidRDefault="00A804F0" w:rsidP="00A804F0">
      <w:pPr>
        <w:pStyle w:val="a4"/>
        <w:tabs>
          <w:tab w:val="left" w:pos="1199"/>
        </w:tabs>
        <w:ind w:left="709" w:right="103" w:firstLine="0"/>
        <w:rPr>
          <w:sz w:val="28"/>
          <w:szCs w:val="28"/>
          <w:lang w:bidi="uk-UA"/>
        </w:rPr>
      </w:pPr>
    </w:p>
    <w:p w:rsidR="00E943F7" w:rsidRDefault="00E943F7" w:rsidP="00E943F7">
      <w:pPr>
        <w:pStyle w:val="a4"/>
        <w:tabs>
          <w:tab w:val="left" w:pos="1199"/>
        </w:tabs>
        <w:ind w:left="0" w:right="103" w:firstLine="426"/>
        <w:jc w:val="center"/>
        <w:rPr>
          <w:b/>
          <w:bCs/>
          <w:sz w:val="28"/>
          <w:szCs w:val="28"/>
          <w:lang w:bidi="uk-UA"/>
        </w:rPr>
      </w:pPr>
      <w:bookmarkStart w:id="2" w:name="bookmark3"/>
      <w:r w:rsidRPr="00D92E0F">
        <w:rPr>
          <w:b/>
          <w:bCs/>
          <w:sz w:val="28"/>
          <w:szCs w:val="28"/>
          <w:lang w:bidi="uk-UA"/>
        </w:rPr>
        <w:t>Ф</w:t>
      </w:r>
      <w:r w:rsidRPr="00D92E0F">
        <w:rPr>
          <w:b/>
          <w:bCs/>
          <w:sz w:val="28"/>
          <w:szCs w:val="28"/>
          <w:vertAlign w:val="subscript"/>
          <w:lang w:bidi="uk-UA"/>
        </w:rPr>
        <w:t>с</w:t>
      </w:r>
      <w:r w:rsidRPr="00D92E0F">
        <w:rPr>
          <w:b/>
          <w:bCs/>
          <w:sz w:val="28"/>
          <w:szCs w:val="28"/>
          <w:lang w:bidi="uk-UA"/>
        </w:rPr>
        <w:t xml:space="preserve"> = Фз * К</w:t>
      </w:r>
      <w:r w:rsidRPr="00A804F0">
        <w:rPr>
          <w:b/>
          <w:bCs/>
          <w:sz w:val="28"/>
          <w:szCs w:val="28"/>
          <w:vertAlign w:val="subscript"/>
          <w:lang w:bidi="uk-UA"/>
        </w:rPr>
        <w:t>рс</w:t>
      </w:r>
      <w:r w:rsidRPr="00D92E0F">
        <w:rPr>
          <w:b/>
          <w:bCs/>
          <w:sz w:val="28"/>
          <w:szCs w:val="28"/>
          <w:lang w:bidi="uk-UA"/>
        </w:rPr>
        <w:t>,</w:t>
      </w:r>
      <w:bookmarkEnd w:id="2"/>
    </w:p>
    <w:p w:rsidR="00A804F0" w:rsidRPr="00D92E0F" w:rsidRDefault="00A804F0" w:rsidP="00E943F7">
      <w:pPr>
        <w:pStyle w:val="a4"/>
        <w:tabs>
          <w:tab w:val="left" w:pos="1199"/>
        </w:tabs>
        <w:ind w:left="0" w:right="103" w:firstLine="426"/>
        <w:jc w:val="center"/>
        <w:rPr>
          <w:b/>
          <w:bCs/>
          <w:sz w:val="28"/>
          <w:szCs w:val="28"/>
          <w:lang w:bidi="uk-UA"/>
        </w:rPr>
      </w:pPr>
    </w:p>
    <w:p w:rsidR="00E943F7" w:rsidRPr="00D92E0F" w:rsidRDefault="00E943F7" w:rsidP="00E943F7">
      <w:pPr>
        <w:pStyle w:val="a4"/>
        <w:tabs>
          <w:tab w:val="left" w:pos="1199"/>
        </w:tabs>
        <w:ind w:left="0" w:right="103" w:firstLine="426"/>
        <w:rPr>
          <w:sz w:val="28"/>
          <w:szCs w:val="28"/>
          <w:lang w:bidi="uk-UA"/>
        </w:rPr>
      </w:pPr>
      <w:r w:rsidRPr="00D92E0F">
        <w:rPr>
          <w:sz w:val="28"/>
          <w:szCs w:val="28"/>
          <w:lang w:bidi="uk-UA"/>
        </w:rPr>
        <w:t>де Ф</w:t>
      </w:r>
      <w:r w:rsidRPr="00D92E0F">
        <w:rPr>
          <w:sz w:val="28"/>
          <w:szCs w:val="28"/>
          <w:vertAlign w:val="subscript"/>
          <w:lang w:bidi="uk-UA"/>
        </w:rPr>
        <w:t>с</w:t>
      </w:r>
      <w:r w:rsidRPr="00D92E0F">
        <w:rPr>
          <w:sz w:val="28"/>
          <w:szCs w:val="28"/>
          <w:lang w:bidi="uk-UA"/>
        </w:rPr>
        <w:t xml:space="preserve"> - фонд преміювання окремого структурного підрозділу у поточному періоді;</w:t>
      </w:r>
    </w:p>
    <w:p w:rsidR="00E943F7" w:rsidRPr="00D92E0F" w:rsidRDefault="00A804F0" w:rsidP="00E943F7">
      <w:pPr>
        <w:pStyle w:val="a4"/>
        <w:tabs>
          <w:tab w:val="left" w:pos="1199"/>
        </w:tabs>
        <w:ind w:left="0" w:right="103" w:firstLine="426"/>
        <w:rPr>
          <w:sz w:val="28"/>
          <w:szCs w:val="28"/>
          <w:lang w:bidi="uk-UA"/>
        </w:rPr>
      </w:pPr>
      <w:r>
        <w:rPr>
          <w:sz w:val="28"/>
          <w:szCs w:val="28"/>
          <w:lang w:bidi="uk-UA"/>
        </w:rPr>
        <w:t xml:space="preserve">      </w:t>
      </w:r>
      <w:r w:rsidR="00E943F7" w:rsidRPr="00D92E0F">
        <w:rPr>
          <w:sz w:val="28"/>
          <w:szCs w:val="28"/>
          <w:lang w:bidi="uk-UA"/>
        </w:rPr>
        <w:t>Ф</w:t>
      </w:r>
      <w:r w:rsidR="00E943F7" w:rsidRPr="00D92E0F">
        <w:rPr>
          <w:sz w:val="28"/>
          <w:szCs w:val="28"/>
          <w:vertAlign w:val="subscript"/>
          <w:lang w:bidi="uk-UA"/>
        </w:rPr>
        <w:t>3</w:t>
      </w:r>
      <w:r w:rsidR="00E943F7" w:rsidRPr="00D92E0F">
        <w:rPr>
          <w:sz w:val="28"/>
          <w:szCs w:val="28"/>
          <w:lang w:bidi="uk-UA"/>
        </w:rPr>
        <w:t xml:space="preserve"> - сума преміального фонду, який підлягає розподілу між структурними підрозділами.</w:t>
      </w:r>
    </w:p>
    <w:p w:rsidR="00E943F7" w:rsidRDefault="00E943F7" w:rsidP="00E943F7">
      <w:pPr>
        <w:pStyle w:val="a4"/>
        <w:tabs>
          <w:tab w:val="left" w:pos="1199"/>
        </w:tabs>
        <w:ind w:left="0" w:right="103" w:firstLine="709"/>
        <w:rPr>
          <w:sz w:val="28"/>
          <w:szCs w:val="28"/>
          <w:lang w:bidi="uk-UA"/>
        </w:rPr>
      </w:pPr>
      <w:r w:rsidRPr="00D92E0F">
        <w:rPr>
          <w:sz w:val="28"/>
          <w:szCs w:val="28"/>
          <w:lang w:bidi="uk-UA"/>
        </w:rPr>
        <w:t xml:space="preserve">Розраховані преміальні фонди структурних підрозділів відображаються у формі Додатку 5 до даної Методики та доводяться до відома проректорів </w:t>
      </w:r>
      <w:r>
        <w:rPr>
          <w:sz w:val="28"/>
          <w:szCs w:val="28"/>
          <w:lang w:bidi="uk-UA"/>
        </w:rPr>
        <w:t>т</w:t>
      </w:r>
      <w:r w:rsidR="00A804F0">
        <w:rPr>
          <w:sz w:val="28"/>
          <w:szCs w:val="28"/>
          <w:lang w:bidi="uk-UA"/>
        </w:rPr>
        <w:t>а/</w:t>
      </w:r>
      <w:r w:rsidRPr="00D92E0F">
        <w:rPr>
          <w:sz w:val="28"/>
          <w:szCs w:val="28"/>
          <w:lang w:bidi="uk-UA"/>
        </w:rPr>
        <w:t>або керівників відповідних підрозділів для розподілу між працівниками таких структурних одиниць відповідно до особистого внеску в загальні результати роботи ОНМедУ.</w:t>
      </w:r>
    </w:p>
    <w:p w:rsidR="000928EF" w:rsidRDefault="000928EF" w:rsidP="00E943F7">
      <w:pPr>
        <w:pStyle w:val="20"/>
        <w:shd w:val="clear" w:color="auto" w:fill="auto"/>
        <w:tabs>
          <w:tab w:val="left" w:pos="946"/>
        </w:tabs>
        <w:spacing w:before="0" w:after="0"/>
      </w:pPr>
    </w:p>
    <w:sectPr w:rsidR="000928EF">
      <w:pgSz w:w="11900" w:h="16840"/>
      <w:pgMar w:top="906" w:right="694" w:bottom="780" w:left="14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F7" w:rsidRDefault="00E943F7">
      <w:r>
        <w:separator/>
      </w:r>
    </w:p>
  </w:endnote>
  <w:endnote w:type="continuationSeparator" w:id="0">
    <w:p w:rsidR="00E943F7" w:rsidRDefault="00E9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F7" w:rsidRDefault="00E943F7"/>
  </w:footnote>
  <w:footnote w:type="continuationSeparator" w:id="0">
    <w:p w:rsidR="00E943F7" w:rsidRDefault="00E943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34"/>
    <w:multiLevelType w:val="multilevel"/>
    <w:tmpl w:val="B09E3F18"/>
    <w:lvl w:ilvl="0">
      <w:start w:val="3"/>
      <w:numFmt w:val="decimal"/>
      <w:lvlText w:val="%1."/>
      <w:lvlJc w:val="left"/>
      <w:pPr>
        <w:ind w:left="846"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9F006E"/>
    <w:multiLevelType w:val="multilevel"/>
    <w:tmpl w:val="511C2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73100"/>
    <w:multiLevelType w:val="multilevel"/>
    <w:tmpl w:val="09BEFFAA"/>
    <w:lvl w:ilvl="0">
      <w:start w:val="4"/>
      <w:numFmt w:val="decimal"/>
      <w:lvlText w:val="%1."/>
      <w:lvlJc w:val="left"/>
      <w:pPr>
        <w:ind w:left="420" w:hanging="42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0E49E6"/>
    <w:multiLevelType w:val="multilevel"/>
    <w:tmpl w:val="5D2A98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3B6751"/>
    <w:multiLevelType w:val="multilevel"/>
    <w:tmpl w:val="9BD6D6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D26EDB"/>
    <w:multiLevelType w:val="multilevel"/>
    <w:tmpl w:val="21484B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94D27"/>
    <w:multiLevelType w:val="multilevel"/>
    <w:tmpl w:val="420E6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D4270C"/>
    <w:multiLevelType w:val="multilevel"/>
    <w:tmpl w:val="E7EE2324"/>
    <w:lvl w:ilvl="0">
      <w:start w:val="2"/>
      <w:numFmt w:val="upperRoman"/>
      <w:lvlText w:val="%1."/>
      <w:lvlJc w:val="left"/>
      <w:pPr>
        <w:ind w:left="2500" w:hanging="720"/>
      </w:pPr>
      <w:rPr>
        <w:rFonts w:hint="default"/>
      </w:rPr>
    </w:lvl>
    <w:lvl w:ilvl="1">
      <w:start w:val="4"/>
      <w:numFmt w:val="decimal"/>
      <w:isLgl/>
      <w:lvlText w:val="%1.%2."/>
      <w:lvlJc w:val="left"/>
      <w:pPr>
        <w:ind w:left="2500" w:hanging="720"/>
      </w:pPr>
      <w:rPr>
        <w:rFonts w:hint="default"/>
      </w:rPr>
    </w:lvl>
    <w:lvl w:ilvl="2">
      <w:start w:val="1"/>
      <w:numFmt w:val="decimal"/>
      <w:isLgl/>
      <w:lvlText w:val="%1.%2.%3."/>
      <w:lvlJc w:val="left"/>
      <w:pPr>
        <w:ind w:left="2860" w:hanging="1080"/>
      </w:pPr>
      <w:rPr>
        <w:rFonts w:hint="default"/>
      </w:rPr>
    </w:lvl>
    <w:lvl w:ilvl="3">
      <w:start w:val="1"/>
      <w:numFmt w:val="decimal"/>
      <w:isLgl/>
      <w:lvlText w:val="%1.%2.%3.%4."/>
      <w:lvlJc w:val="left"/>
      <w:pPr>
        <w:ind w:left="3220" w:hanging="1440"/>
      </w:pPr>
      <w:rPr>
        <w:rFonts w:hint="default"/>
      </w:rPr>
    </w:lvl>
    <w:lvl w:ilvl="4">
      <w:start w:val="1"/>
      <w:numFmt w:val="decimal"/>
      <w:isLgl/>
      <w:lvlText w:val="%1.%2.%3.%4.%5."/>
      <w:lvlJc w:val="left"/>
      <w:pPr>
        <w:ind w:left="3580" w:hanging="1800"/>
      </w:pPr>
      <w:rPr>
        <w:rFonts w:hint="default"/>
      </w:rPr>
    </w:lvl>
    <w:lvl w:ilvl="5">
      <w:start w:val="1"/>
      <w:numFmt w:val="decimal"/>
      <w:isLgl/>
      <w:lvlText w:val="%1.%2.%3.%4.%5.%6."/>
      <w:lvlJc w:val="left"/>
      <w:pPr>
        <w:ind w:left="3580" w:hanging="1800"/>
      </w:pPr>
      <w:rPr>
        <w:rFonts w:hint="default"/>
      </w:rPr>
    </w:lvl>
    <w:lvl w:ilvl="6">
      <w:start w:val="1"/>
      <w:numFmt w:val="decimal"/>
      <w:isLgl/>
      <w:lvlText w:val="%1.%2.%3.%4.%5.%6.%7."/>
      <w:lvlJc w:val="left"/>
      <w:pPr>
        <w:ind w:left="3940" w:hanging="2160"/>
      </w:pPr>
      <w:rPr>
        <w:rFonts w:hint="default"/>
      </w:rPr>
    </w:lvl>
    <w:lvl w:ilvl="7">
      <w:start w:val="1"/>
      <w:numFmt w:val="decimal"/>
      <w:isLgl/>
      <w:lvlText w:val="%1.%2.%3.%4.%5.%6.%7.%8."/>
      <w:lvlJc w:val="left"/>
      <w:pPr>
        <w:ind w:left="4300" w:hanging="2520"/>
      </w:pPr>
      <w:rPr>
        <w:rFonts w:hint="default"/>
      </w:rPr>
    </w:lvl>
    <w:lvl w:ilvl="8">
      <w:start w:val="1"/>
      <w:numFmt w:val="decimal"/>
      <w:isLgl/>
      <w:lvlText w:val="%1.%2.%3.%4.%5.%6.%7.%8.%9."/>
      <w:lvlJc w:val="left"/>
      <w:pPr>
        <w:ind w:left="4660" w:hanging="2880"/>
      </w:pPr>
      <w:rPr>
        <w:rFonts w:hint="default"/>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F"/>
    <w:rsid w:val="000928EF"/>
    <w:rsid w:val="001B0D6D"/>
    <w:rsid w:val="0021247E"/>
    <w:rsid w:val="008D7461"/>
    <w:rsid w:val="00A804F0"/>
    <w:rsid w:val="00AF644A"/>
    <w:rsid w:val="00B66148"/>
    <w:rsid w:val="00E63966"/>
    <w:rsid w:val="00E943F7"/>
    <w:rsid w:val="00F22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7999"/>
  <w15:docId w15:val="{33201111-DD1A-4898-BF01-0FEE7F6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75pt0pt">
    <w:name w:val="Основний текст (3) + 7;5 pt;Інтервал 0 pt"/>
    <w:basedOn w:val="3"/>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uk-UA" w:eastAsia="uk-UA" w:bidi="uk-UA"/>
    </w:rPr>
  </w:style>
  <w:style w:type="character" w:customStyle="1" w:styleId="319pt0pt">
    <w:name w:val="Основний текст (3) + 19 pt;Напівжирний;Курсив;Інтервал 0 pt"/>
    <w:basedOn w:val="3"/>
    <w:rPr>
      <w:rFonts w:ascii="Times New Roman" w:eastAsia="Times New Roman" w:hAnsi="Times New Roman" w:cs="Times New Roman"/>
      <w:b/>
      <w:bCs/>
      <w:i/>
      <w:iCs/>
      <w:smallCaps w:val="0"/>
      <w:strike w:val="0"/>
      <w:color w:val="000000"/>
      <w:spacing w:val="-10"/>
      <w:w w:val="100"/>
      <w:position w:val="0"/>
      <w:sz w:val="38"/>
      <w:szCs w:val="38"/>
      <w:u w:val="single"/>
      <w:lang w:val="uk-UA" w:eastAsia="uk-UA" w:bidi="uk-UA"/>
    </w:rPr>
  </w:style>
  <w:style w:type="character" w:customStyle="1" w:styleId="375pt0pt0">
    <w:name w:val="Основний текст (3) + 7;5 pt;Інтервал 0 pt"/>
    <w:basedOn w:val="3"/>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uk-UA" w:eastAsia="uk-UA" w:bidi="uk-UA"/>
    </w:rPr>
  </w:style>
  <w:style w:type="character" w:customStyle="1" w:styleId="311pt-1pt">
    <w:name w:val="Основний текст (3) + 11 pt;Інтервал -1 pt"/>
    <w:basedOn w:val="3"/>
    <w:rPr>
      <w:rFonts w:ascii="Times New Roman" w:eastAsia="Times New Roman" w:hAnsi="Times New Roman" w:cs="Times New Roman"/>
      <w:b w:val="0"/>
      <w:bCs w:val="0"/>
      <w:i w:val="0"/>
      <w:iCs w:val="0"/>
      <w:smallCaps w:val="0"/>
      <w:strike w:val="0"/>
      <w:color w:val="000000"/>
      <w:spacing w:val="-20"/>
      <w:w w:val="100"/>
      <w:position w:val="0"/>
      <w:sz w:val="22"/>
      <w:szCs w:val="22"/>
      <w:u w:val="single"/>
      <w:lang w:val="uk-UA" w:eastAsia="uk-UA" w:bidi="uk-UA"/>
    </w:rPr>
  </w:style>
  <w:style w:type="character" w:customStyle="1" w:styleId="311pt-1pt0">
    <w:name w:val="Основний текст (3) + 11 pt;Інтервал -1 pt"/>
    <w:basedOn w:val="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Consolas15pt0pt">
    <w:name w:val="Основний текст (2) + Consolas;15 pt;Інтервал 0 pt"/>
    <w:basedOn w:val="2"/>
    <w:rPr>
      <w:rFonts w:ascii="Consolas" w:eastAsia="Consolas" w:hAnsi="Consolas" w:cs="Consolas"/>
      <w:b w:val="0"/>
      <w:bCs w:val="0"/>
      <w:i w:val="0"/>
      <w:iCs w:val="0"/>
      <w:smallCaps w:val="0"/>
      <w:strike w:val="0"/>
      <w:color w:val="000000"/>
      <w:spacing w:val="-10"/>
      <w:w w:val="100"/>
      <w:position w:val="0"/>
      <w:sz w:val="30"/>
      <w:szCs w:val="30"/>
      <w:u w:val="none"/>
      <w:lang w:val="uk-UA" w:eastAsia="uk-UA" w:bidi="uk-UA"/>
    </w:rPr>
  </w:style>
  <w:style w:type="character" w:customStyle="1" w:styleId="21pt">
    <w:name w:val="Основний текст (2) + І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uk-UA" w:eastAsia="uk-UA" w:bidi="uk-UA"/>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ий текст (3)"/>
    <w:basedOn w:val="a"/>
    <w:link w:val="3"/>
    <w:pPr>
      <w:shd w:val="clear" w:color="auto" w:fill="FFFFFF"/>
      <w:spacing w:after="720" w:line="241" w:lineRule="exact"/>
      <w:jc w:val="right"/>
    </w:pPr>
    <w:rPr>
      <w:rFonts w:ascii="Times New Roman" w:eastAsia="Times New Roman" w:hAnsi="Times New Roman" w:cs="Times New Roman"/>
      <w:sz w:val="20"/>
      <w:szCs w:val="20"/>
    </w:rPr>
  </w:style>
  <w:style w:type="paragraph" w:customStyle="1" w:styleId="40">
    <w:name w:val="Основний текст (4)"/>
    <w:basedOn w:val="a"/>
    <w:link w:val="4"/>
    <w:pPr>
      <w:shd w:val="clear" w:color="auto" w:fill="FFFFFF"/>
      <w:spacing w:before="720" w:after="660" w:line="349" w:lineRule="exac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pPr>
      <w:shd w:val="clear" w:color="auto" w:fill="FFFFFF"/>
      <w:spacing w:before="240" w:after="120" w:line="346" w:lineRule="exact"/>
      <w:jc w:val="both"/>
    </w:pPr>
    <w:rPr>
      <w:rFonts w:ascii="Times New Roman" w:eastAsia="Times New Roman" w:hAnsi="Times New Roman" w:cs="Times New Roman"/>
      <w:sz w:val="28"/>
      <w:szCs w:val="28"/>
    </w:rPr>
  </w:style>
  <w:style w:type="paragraph" w:customStyle="1" w:styleId="50">
    <w:name w:val="Основний текст (5)"/>
    <w:basedOn w:val="a"/>
    <w:link w:val="5"/>
    <w:pPr>
      <w:shd w:val="clear" w:color="auto" w:fill="FFFFFF"/>
      <w:spacing w:before="120" w:after="600" w:line="0" w:lineRule="atLeast"/>
      <w:jc w:val="center"/>
    </w:pPr>
    <w:rPr>
      <w:rFonts w:ascii="Times New Roman" w:eastAsia="Times New Roman" w:hAnsi="Times New Roman" w:cs="Times New Roman"/>
      <w:b/>
      <w:bCs/>
      <w:sz w:val="28"/>
      <w:szCs w:val="28"/>
    </w:rPr>
  </w:style>
  <w:style w:type="paragraph" w:styleId="a4">
    <w:name w:val="List Paragraph"/>
    <w:basedOn w:val="a"/>
    <w:uiPriority w:val="1"/>
    <w:qFormat/>
    <w:rsid w:val="00E943F7"/>
    <w:pPr>
      <w:autoSpaceDE w:val="0"/>
      <w:autoSpaceDN w:val="0"/>
      <w:ind w:left="821" w:right="104" w:hanging="360"/>
      <w:jc w:val="both"/>
    </w:pPr>
    <w:rPr>
      <w:rFonts w:ascii="Times New Roman" w:eastAsia="Times New Roman" w:hAnsi="Times New Roman" w:cs="Times New Roman"/>
      <w:color w:val="auto"/>
      <w:sz w:val="22"/>
      <w:szCs w:val="22"/>
      <w:lang w:eastAsia="en-US" w:bidi="ar-SA"/>
    </w:rPr>
  </w:style>
  <w:style w:type="paragraph" w:styleId="a5">
    <w:name w:val="header"/>
    <w:basedOn w:val="a"/>
    <w:link w:val="a6"/>
    <w:uiPriority w:val="99"/>
    <w:unhideWhenUsed/>
    <w:rsid w:val="00E943F7"/>
    <w:pPr>
      <w:tabs>
        <w:tab w:val="center" w:pos="4819"/>
        <w:tab w:val="right" w:pos="9639"/>
      </w:tabs>
    </w:pPr>
  </w:style>
  <w:style w:type="character" w:customStyle="1" w:styleId="a6">
    <w:name w:val="Верхний колонтитул Знак"/>
    <w:basedOn w:val="a0"/>
    <w:link w:val="a5"/>
    <w:uiPriority w:val="99"/>
    <w:rsid w:val="00E943F7"/>
    <w:rPr>
      <w:color w:val="000000"/>
    </w:rPr>
  </w:style>
  <w:style w:type="paragraph" w:styleId="a7">
    <w:name w:val="footer"/>
    <w:basedOn w:val="a"/>
    <w:link w:val="a8"/>
    <w:uiPriority w:val="99"/>
    <w:unhideWhenUsed/>
    <w:rsid w:val="00E943F7"/>
    <w:pPr>
      <w:tabs>
        <w:tab w:val="center" w:pos="4819"/>
        <w:tab w:val="right" w:pos="9639"/>
      </w:tabs>
    </w:pPr>
  </w:style>
  <w:style w:type="character" w:customStyle="1" w:styleId="a8">
    <w:name w:val="Нижний колонтитул Знак"/>
    <w:basedOn w:val="a0"/>
    <w:link w:val="a7"/>
    <w:uiPriority w:val="99"/>
    <w:rsid w:val="00E943F7"/>
    <w:rPr>
      <w:color w:val="000000"/>
    </w:rPr>
  </w:style>
  <w:style w:type="character" w:styleId="a9">
    <w:name w:val="Placeholder Text"/>
    <w:basedOn w:val="a0"/>
    <w:uiPriority w:val="99"/>
    <w:semiHidden/>
    <w:rsid w:val="00E63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8CE9-C50D-4065-842F-DECB2CF5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4105</Words>
  <Characters>2340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ONMedU</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Івасишина Елеонора Петрівна</dc:creator>
  <cp:lastModifiedBy>Івасишина Елеонора Петрівна</cp:lastModifiedBy>
  <cp:revision>4</cp:revision>
  <dcterms:created xsi:type="dcterms:W3CDTF">2022-10-07T10:58:00Z</dcterms:created>
  <dcterms:modified xsi:type="dcterms:W3CDTF">2022-10-12T09:56:00Z</dcterms:modified>
</cp:coreProperties>
</file>